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94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重庆机电控股（集团）公司</w:t>
      </w:r>
    </w:p>
    <w:p>
      <w:pPr>
        <w:widowControl/>
        <w:shd w:val="clear" w:color="auto" w:fill="FFFFFF"/>
        <w:adjustRightInd w:val="0"/>
        <w:snapToGrid w:val="0"/>
        <w:spacing w:line="594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宣传片摄制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项目的比选公告</w:t>
      </w:r>
    </w:p>
    <w:p>
      <w:pPr>
        <w:widowControl/>
        <w:shd w:val="clear" w:color="auto" w:fill="FFFFFF"/>
        <w:adjustRightInd w:val="0"/>
        <w:snapToGrid w:val="0"/>
        <w:spacing w:line="594" w:lineRule="exact"/>
        <w:ind w:firstLine="640" w:firstLineChars="200"/>
        <w:jc w:val="left"/>
        <w:rPr>
          <w:rFonts w:hint="eastAsia" w:eastAsia="方正黑体_GBK" w:cs="宋体"/>
          <w:kern w:val="0"/>
          <w:sz w:val="32"/>
          <w:szCs w:val="32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left"/>
        <w:textAlignment w:val="auto"/>
        <w:rPr>
          <w:rFonts w:eastAsia="方正黑体_GBK" w:cs="宋体"/>
          <w:kern w:val="0"/>
          <w:sz w:val="32"/>
          <w:szCs w:val="32"/>
        </w:rPr>
      </w:pPr>
      <w:r>
        <w:rPr>
          <w:rFonts w:hint="eastAsia" w:eastAsia="方正黑体_GBK" w:cs="宋体"/>
          <w:kern w:val="0"/>
          <w:sz w:val="32"/>
          <w:szCs w:val="32"/>
        </w:rPr>
        <w:t>一、项目名称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重庆机电控股（集团）公司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（以下简称重庆机电集团或集团）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商务版形象宣传片、政务版形象宣传片、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产品宣传片</w:t>
      </w:r>
      <w:r>
        <w:rPr>
          <w:rFonts w:hint="eastAsia" w:ascii="方正仿宋_GBK" w:eastAsia="方正仿宋_GBK"/>
          <w:sz w:val="32"/>
          <w:szCs w:val="32"/>
        </w:rPr>
        <w:t>摄制项目。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val="en-US" w:eastAsia="zh-CN"/>
        </w:rPr>
        <w:t>二</w:t>
      </w:r>
      <w:r>
        <w:rPr>
          <w:rFonts w:hint="eastAsia" w:ascii="方正黑体_GBK" w:eastAsia="方正黑体_GBK"/>
          <w:sz w:val="32"/>
          <w:szCs w:val="32"/>
        </w:rPr>
        <w:t>、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制作要求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商务版形象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宣传片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以集团企业文化为主线，聚焦国家战略和“33618”现代制造业集群体系建设，以写意的手法融入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集团</w:t>
      </w:r>
      <w:bookmarkStart w:id="0" w:name="OLE_LINK10"/>
      <w:r>
        <w:rPr>
          <w:rFonts w:hint="eastAsia" w:ascii="方正仿宋_GBK" w:hAnsi="方正仿宋_GBK" w:eastAsia="方正仿宋_GBK" w:cs="方正仿宋_GBK"/>
          <w:sz w:val="32"/>
          <w:szCs w:val="32"/>
        </w:rPr>
        <w:t>改革发展新成效、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战略定位、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发展实力、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战略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规划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创新驱</w:t>
      </w:r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等内容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展现装备制造的工业美学与浪漫情怀，体现集团承载战略使命，奋力成为中国一流的装备集团的不懈追求，</w:t>
      </w:r>
      <w:r>
        <w:rPr>
          <w:rFonts w:hint="eastAsia" w:ascii="方正仿宋_GBK" w:eastAsia="方正仿宋_GBK"/>
          <w:sz w:val="32"/>
          <w:szCs w:val="32"/>
        </w:rPr>
        <w:t>宣传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塑造和</w:t>
      </w:r>
      <w:r>
        <w:rPr>
          <w:rFonts w:hint="eastAsia" w:ascii="方正仿宋_GBK" w:eastAsia="方正仿宋_GBK"/>
          <w:sz w:val="32"/>
          <w:szCs w:val="32"/>
        </w:rPr>
        <w:t>展示机电集团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企业形象，提升企业品牌影响力。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</w:rPr>
        <w:t>（二）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政务版形象宣传片在商务版基础上进行完善，重点以党建统领实施“五个重塑”为主线，聚焦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主动承载服务国家和市委战略使命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，通过虚实结合的手法展示集团坚持发挥党委“把管保”作用，从集团党建引领、战略使命、文化强企、人才建设等方面展现集团改革发展成效，不断推动集团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高质量发展的生动实践。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（三）</w:t>
      </w:r>
      <w:bookmarkStart w:id="1" w:name="OLE_LINK17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产品宣传片以集团五大业务板块为主线，重点聚焦技术创新、产品研发、核心产品、服务领域等，通过虚实结合的手法展示集团“铸就大国重器，引领工业制造”的使命追求，展示集团核心竞争力。</w:t>
      </w:r>
    </w:p>
    <w:bookmarkEnd w:id="1"/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四</w:t>
      </w:r>
      <w:r>
        <w:rPr>
          <w:rFonts w:hint="eastAsia" w:ascii="方正仿宋_GBK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企业形象宣传照主要聚焦企业生产现场、重点产品等，通过艺术创作手法集中展现人与工厂、人与机械、人与装备等完美融合，并通过后期艺术加工，体现集团核心价值追求，展现工业制造的魅力与浪漫情怀。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bookmarkStart w:id="2" w:name="OLE_LINK7"/>
      <w:r>
        <w:rPr>
          <w:rFonts w:hint="eastAsia" w:ascii="方正仿宋_GBK" w:eastAsia="方正仿宋_GBK"/>
          <w:sz w:val="32"/>
          <w:szCs w:val="32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五</w:t>
      </w:r>
      <w:r>
        <w:rPr>
          <w:rFonts w:hint="eastAsia" w:ascii="方正仿宋_GBK" w:eastAsia="方正仿宋_GBK"/>
          <w:sz w:val="32"/>
          <w:szCs w:val="32"/>
        </w:rPr>
        <w:t>）宣传片要求具有现代气息</w:t>
      </w:r>
      <w:bookmarkEnd w:id="2"/>
      <w:r>
        <w:rPr>
          <w:rFonts w:hint="eastAsia" w:ascii="方正仿宋_GBK" w:eastAsia="方正仿宋_GBK"/>
          <w:sz w:val="32"/>
          <w:szCs w:val="32"/>
          <w:lang w:eastAsia="zh-CN"/>
        </w:rPr>
        <w:t>、</w:t>
      </w:r>
      <w:r>
        <w:rPr>
          <w:rFonts w:hint="eastAsia" w:ascii="方正仿宋_GBK" w:eastAsia="方正仿宋_GBK"/>
          <w:sz w:val="32"/>
          <w:szCs w:val="32"/>
        </w:rPr>
        <w:t>强烈的视觉冲击力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和科技感</w:t>
      </w:r>
      <w:r>
        <w:rPr>
          <w:rFonts w:hint="eastAsia" w:ascii="方正仿宋_GBK" w:eastAsia="方正仿宋_GBK"/>
          <w:sz w:val="32"/>
          <w:szCs w:val="32"/>
        </w:rPr>
        <w:t>，画面简洁、大气、震撼，符合机电集团作为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重庆装备制造业排头兵</w:t>
      </w:r>
      <w:r>
        <w:rPr>
          <w:rFonts w:hint="eastAsia" w:ascii="方正仿宋_GBK" w:eastAsia="方正仿宋_GBK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奋力成为中国一流的装备集团的良好</w:t>
      </w:r>
      <w:r>
        <w:rPr>
          <w:rFonts w:hint="eastAsia" w:ascii="方正仿宋_GBK" w:eastAsia="方正仿宋_GBK"/>
          <w:sz w:val="32"/>
          <w:szCs w:val="32"/>
        </w:rPr>
        <w:t>企业形象。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eastAsia="方正仿宋_GBK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六</w:t>
      </w:r>
      <w:r>
        <w:rPr>
          <w:rFonts w:hint="eastAsia" w:ascii="方正仿宋_GBK" w:eastAsia="方正仿宋_GBK"/>
          <w:sz w:val="32"/>
          <w:szCs w:val="32"/>
        </w:rPr>
        <w:t>）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承制单位应在文案创作、实际拍摄前深入企业现场勘察，调整优化文案脚本和分镜头脚本，配备专业拍摄器材和拍摄团队、化妆师，保障拍摄质量和影片效果。可以选择邀请专业演员进行实际拍摄，也可以挑选企业形象气质佳的员工拍摄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七</w:t>
      </w:r>
      <w:r>
        <w:rPr>
          <w:rFonts w:hint="eastAsia" w:ascii="方正仿宋_GBK" w:eastAsia="方正仿宋_GBK"/>
          <w:sz w:val="32"/>
          <w:szCs w:val="32"/>
        </w:rPr>
        <w:t>）宣传片后期编辑中所采用的城市形象、风光形象等素材以及数字化特效包装所采用的字体等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元素</w:t>
      </w:r>
      <w:r>
        <w:rPr>
          <w:rFonts w:hint="eastAsia" w:ascii="方正仿宋_GBK" w:eastAsia="方正仿宋_GBK"/>
          <w:sz w:val="32"/>
          <w:szCs w:val="32"/>
        </w:rPr>
        <w:t>应无版权纠纷。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八</w:t>
      </w:r>
      <w:r>
        <w:rPr>
          <w:rFonts w:hint="eastAsia" w:ascii="方正仿宋_GBK" w:eastAsia="方正仿宋_GBK"/>
          <w:sz w:val="32"/>
          <w:szCs w:val="32"/>
        </w:rPr>
        <w:t>）宣传片制作标准要求采用超清模式拍摄，输出成片分辨率不低于4K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商务版形象宣传片和政务版形象宣传片为</w:t>
      </w:r>
      <w:r>
        <w:rPr>
          <w:rFonts w:hint="eastAsia" w:ascii="方正仿宋_GBK" w:eastAsia="方正仿宋_GBK"/>
          <w:sz w:val="32"/>
          <w:szCs w:val="32"/>
        </w:rPr>
        <w:t>中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文配音、中</w:t>
      </w:r>
      <w:r>
        <w:rPr>
          <w:rFonts w:hint="eastAsia" w:ascii="方正仿宋_GBK" w:eastAsia="方正仿宋_GBK"/>
          <w:sz w:val="32"/>
          <w:szCs w:val="32"/>
        </w:rPr>
        <w:t>英文字幕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版本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bookmarkStart w:id="3" w:name="OLE_LINK12"/>
      <w:r>
        <w:rPr>
          <w:rFonts w:hint="eastAsia" w:ascii="方正仿宋_GBK" w:eastAsia="方正仿宋_GBK"/>
          <w:sz w:val="32"/>
          <w:szCs w:val="32"/>
          <w:lang w:eastAsia="zh-CN"/>
        </w:rPr>
        <w:t>产品宣传片提供中文、英语、俄语、西班牙语四个配音版本和字幕版本。</w:t>
      </w:r>
    </w:p>
    <w:bookmarkEnd w:id="3"/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九</w:t>
      </w:r>
      <w:r>
        <w:rPr>
          <w:rFonts w:hint="eastAsia" w:ascii="方正仿宋_GBK" w:eastAsia="方正仿宋_GBK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根据宣传片的功能定位和使用场景，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本项目成品交付物分别为：商务版形象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宣传片（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8-12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政务版形象宣传片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-12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产品宣传片（8-10分钟）、企业形象宣传照（覆盖集团主要生产型企业23户，每户企业精选5-10张）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）宣传片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宣传照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版权归机电集团所有，制作方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交付时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须把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宣传片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成片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宣传照成品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及拍摄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原始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素材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提供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给机电集团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成品交付后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根据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集团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需要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进行的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修改及由此产生的费用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双方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另行商定。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十一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）制作方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需配置多个专业项目执行团队对接推进宣传片推进工作，可提供相应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售后服务及附赠服务。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十二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本项目制作费用为含税包干价（增值税率为6%的增值税专票）。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  <w:lang w:val="en-US" w:eastAsia="zh-CN"/>
        </w:rPr>
        <w:t>三</w:t>
      </w:r>
      <w:r>
        <w:rPr>
          <w:rFonts w:hint="eastAsia" w:ascii="方正黑体_GBK" w:eastAsia="方正黑体_GBK"/>
          <w:sz w:val="32"/>
          <w:szCs w:val="32"/>
        </w:rPr>
        <w:t>、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比选报价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此次比选限价为65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超过限价视为无效标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  <w:lang w:val="en-US" w:eastAsia="zh-CN"/>
        </w:rPr>
        <w:t>四</w:t>
      </w:r>
      <w:r>
        <w:rPr>
          <w:rFonts w:hint="eastAsia" w:ascii="方正黑体_GBK" w:eastAsia="方正黑体_GBK"/>
          <w:sz w:val="32"/>
          <w:szCs w:val="32"/>
        </w:rPr>
        <w:t>、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比选单位资格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一</w:t>
      </w:r>
      <w:r>
        <w:rPr>
          <w:rFonts w:hint="eastAsia" w:ascii="方正仿宋_GBK" w:eastAsia="方正仿宋_GBK"/>
          <w:sz w:val="32"/>
          <w:szCs w:val="32"/>
        </w:rPr>
        <w:t>）具有独立的法人资格，具有独立承担民事责任的能力，注册资本</w:t>
      </w:r>
      <w:r>
        <w:rPr>
          <w:rFonts w:hint="default" w:ascii="方正仿宋_GBK" w:eastAsia="方正仿宋_GBK"/>
          <w:sz w:val="32"/>
          <w:szCs w:val="32"/>
          <w:highlight w:val="none"/>
          <w:lang w:val="en-US"/>
        </w:rPr>
        <w:t>1</w:t>
      </w:r>
      <w:r>
        <w:rPr>
          <w:rFonts w:hint="eastAsia" w:ascii="方正仿宋_GBK" w:eastAsia="方正仿宋_GBK"/>
          <w:sz w:val="32"/>
          <w:szCs w:val="32"/>
          <w:highlight w:val="none"/>
        </w:rPr>
        <w:t>00万</w:t>
      </w:r>
      <w:r>
        <w:rPr>
          <w:rFonts w:hint="eastAsia" w:ascii="方正仿宋_GBK" w:eastAsia="方正仿宋_GBK"/>
          <w:sz w:val="32"/>
          <w:szCs w:val="32"/>
        </w:rPr>
        <w:t>元以上。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二</w:t>
      </w:r>
      <w:r>
        <w:rPr>
          <w:rFonts w:hint="eastAsia" w:ascii="方正仿宋_GBK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eastAsia="方正仿宋_GBK"/>
          <w:sz w:val="32"/>
          <w:szCs w:val="32"/>
        </w:rPr>
        <w:t>具有</w:t>
      </w:r>
      <w:r>
        <w:rPr>
          <w:rFonts w:hint="eastAsia" w:ascii="方正仿宋_GBK" w:eastAsia="方正仿宋_GBK"/>
          <w:sz w:val="32"/>
          <w:szCs w:val="32"/>
          <w:highlight w:val="none"/>
        </w:rPr>
        <w:t>3个及</w:t>
      </w:r>
      <w:r>
        <w:rPr>
          <w:rFonts w:hint="eastAsia" w:ascii="方正仿宋_GBK" w:eastAsia="方正仿宋_GBK"/>
          <w:sz w:val="32"/>
          <w:szCs w:val="32"/>
        </w:rPr>
        <w:t>以上</w:t>
      </w:r>
      <w:bookmarkStart w:id="4" w:name="OLE_LINK9"/>
      <w:r>
        <w:rPr>
          <w:rFonts w:hint="eastAsia" w:ascii="方正仿宋_GBK" w:eastAsia="方正仿宋_GBK"/>
          <w:sz w:val="32"/>
          <w:szCs w:val="32"/>
        </w:rPr>
        <w:t>大型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工业制造</w:t>
      </w:r>
      <w:r>
        <w:rPr>
          <w:rFonts w:hint="eastAsia" w:ascii="方正仿宋_GBK" w:eastAsia="方正仿宋_GBK"/>
          <w:sz w:val="32"/>
          <w:szCs w:val="32"/>
        </w:rPr>
        <w:t>企业集团宣传片</w:t>
      </w:r>
      <w:bookmarkEnd w:id="4"/>
      <w:r>
        <w:rPr>
          <w:rFonts w:hint="eastAsia" w:ascii="方正仿宋_GBK" w:eastAsia="方正仿宋_GBK"/>
          <w:sz w:val="32"/>
          <w:szCs w:val="32"/>
        </w:rPr>
        <w:t>策划创意制作方面的主要业绩</w:t>
      </w:r>
      <w:r>
        <w:rPr>
          <w:rFonts w:hint="eastAsia" w:ascii="方正仿宋_GBK" w:eastAsia="方正仿宋_GBK"/>
          <w:sz w:val="32"/>
          <w:szCs w:val="32"/>
          <w:lang w:eastAsia="zh-CN"/>
        </w:rPr>
        <w:t>，熟悉工业企业，具有工业设计能力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eastAsia="方正仿宋_GBK"/>
          <w:sz w:val="32"/>
          <w:szCs w:val="32"/>
        </w:rPr>
        <w:t>具有履行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项目</w:t>
      </w:r>
      <w:r>
        <w:rPr>
          <w:rFonts w:hint="eastAsia" w:ascii="方正仿宋_GBK" w:eastAsia="方正仿宋_GBK"/>
          <w:sz w:val="32"/>
          <w:szCs w:val="32"/>
        </w:rPr>
        <w:t>所必需的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资深导演、文案策划、摄影摄像、后期制作、影视配音等专业执行团队。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五、比选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文件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内容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一</w:t>
      </w:r>
      <w:r>
        <w:rPr>
          <w:rFonts w:hint="eastAsia" w:ascii="方正仿宋_GBK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eastAsia="方正仿宋_GBK"/>
          <w:sz w:val="32"/>
          <w:szCs w:val="32"/>
        </w:rPr>
        <w:t>企业法定代表人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资格证明文件复印件或法定代表人</w:t>
      </w:r>
      <w:r>
        <w:rPr>
          <w:rFonts w:hint="eastAsia" w:ascii="方正仿宋_GBK" w:eastAsia="方正仿宋_GBK"/>
          <w:sz w:val="32"/>
          <w:szCs w:val="32"/>
        </w:rPr>
        <w:t>授权委托书原件，并附法定代表人身份证复印件。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二</w:t>
      </w:r>
      <w:r>
        <w:rPr>
          <w:rFonts w:hint="eastAsia" w:ascii="方正仿宋_GBK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eastAsia="方正仿宋_GBK"/>
          <w:sz w:val="32"/>
          <w:szCs w:val="32"/>
        </w:rPr>
        <w:t>企业法人营业副本</w:t>
      </w:r>
      <w:r>
        <w:rPr>
          <w:rFonts w:hint="eastAsia" w:ascii="方正仿宋_GBK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或法人登记证书</w:t>
      </w:r>
      <w:r>
        <w:rPr>
          <w:rFonts w:hint="eastAsia" w:ascii="方正仿宋_GBK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以及组织机构代码证副本</w:t>
      </w:r>
      <w:r>
        <w:rPr>
          <w:rFonts w:hint="eastAsia" w:ascii="方正仿宋_GBK" w:eastAsia="方正仿宋_GBK"/>
          <w:sz w:val="32"/>
          <w:szCs w:val="32"/>
        </w:rPr>
        <w:t>复印件。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比选</w:t>
      </w:r>
      <w:r>
        <w:rPr>
          <w:rFonts w:hint="eastAsia" w:ascii="方正仿宋_GBK" w:eastAsia="方正仿宋_GBK"/>
          <w:sz w:val="32"/>
          <w:szCs w:val="32"/>
        </w:rPr>
        <w:t>报价明细表。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四</w:t>
      </w:r>
      <w:r>
        <w:rPr>
          <w:rFonts w:hint="eastAsia" w:ascii="方正仿宋_GBK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比选</w:t>
      </w:r>
      <w:r>
        <w:rPr>
          <w:rFonts w:hint="eastAsia" w:ascii="方正仿宋_GBK" w:eastAsia="方正仿宋_GBK"/>
          <w:sz w:val="32"/>
          <w:szCs w:val="32"/>
        </w:rPr>
        <w:t>企业简介及主要业绩。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五</w:t>
      </w:r>
      <w:r>
        <w:rPr>
          <w:rFonts w:hint="eastAsia" w:ascii="方正仿宋_GBK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eastAsia="方正仿宋_GBK"/>
          <w:sz w:val="32"/>
          <w:szCs w:val="32"/>
        </w:rPr>
        <w:t>宣传片拍摄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初步</w:t>
      </w:r>
      <w:r>
        <w:rPr>
          <w:rFonts w:hint="eastAsia" w:ascii="方正仿宋_GBK" w:eastAsia="方正仿宋_GBK"/>
          <w:sz w:val="32"/>
          <w:szCs w:val="32"/>
        </w:rPr>
        <w:t>方案。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六</w:t>
      </w:r>
      <w:r>
        <w:rPr>
          <w:rFonts w:hint="eastAsia" w:ascii="方正仿宋_GBK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eastAsia="方正仿宋_GBK"/>
          <w:sz w:val="32"/>
          <w:szCs w:val="32"/>
        </w:rPr>
        <w:t>工作团队及成员构成情况说明。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七</w:t>
      </w:r>
      <w:r>
        <w:rPr>
          <w:rFonts w:hint="eastAsia" w:ascii="方正仿宋_GBK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eastAsia="方正仿宋_GBK"/>
          <w:sz w:val="32"/>
          <w:szCs w:val="32"/>
        </w:rPr>
        <w:t>付款条件、工作计划及服务承诺条款。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八</w:t>
      </w:r>
      <w:r>
        <w:rPr>
          <w:rFonts w:hint="eastAsia" w:ascii="方正仿宋_GBK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eastAsia="方正仿宋_GBK"/>
          <w:sz w:val="32"/>
          <w:szCs w:val="32"/>
        </w:rPr>
        <w:t>为</w:t>
      </w:r>
      <w:bookmarkStart w:id="5" w:name="OLE_LINK11"/>
      <w:r>
        <w:rPr>
          <w:rFonts w:hint="eastAsia" w:ascii="方正仿宋_GBK" w:eastAsia="方正仿宋_GBK"/>
          <w:sz w:val="32"/>
          <w:szCs w:val="32"/>
        </w:rPr>
        <w:t>大型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工业制造</w:t>
      </w:r>
      <w:r>
        <w:rPr>
          <w:rFonts w:hint="eastAsia" w:ascii="方正仿宋_GBK" w:eastAsia="方正仿宋_GBK"/>
          <w:sz w:val="32"/>
          <w:szCs w:val="32"/>
        </w:rPr>
        <w:t>企业集团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提供</w:t>
      </w:r>
      <w:r>
        <w:rPr>
          <w:rFonts w:hint="eastAsia" w:ascii="方正仿宋_GBK" w:eastAsia="方正仿宋_GBK"/>
          <w:sz w:val="32"/>
          <w:szCs w:val="32"/>
        </w:rPr>
        <w:t>宣传片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制作服务</w:t>
      </w:r>
      <w:bookmarkEnd w:id="5"/>
      <w:r>
        <w:rPr>
          <w:rFonts w:hint="eastAsia" w:ascii="方正仿宋_GBK" w:eastAsia="方正仿宋_GBK"/>
          <w:sz w:val="32"/>
          <w:szCs w:val="32"/>
          <w:lang w:val="en-US" w:eastAsia="zh-CN"/>
        </w:rPr>
        <w:t>的</w:t>
      </w:r>
      <w:r>
        <w:rPr>
          <w:rFonts w:hint="eastAsia" w:ascii="方正仿宋_GBK" w:eastAsia="方正仿宋_GBK"/>
          <w:sz w:val="32"/>
          <w:szCs w:val="32"/>
        </w:rPr>
        <w:t>合同复印件。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九</w:t>
      </w:r>
      <w:r>
        <w:rPr>
          <w:rFonts w:hint="eastAsia" w:ascii="方正仿宋_GBK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比选文件一式三份，以文件袋密封形式提交。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六、比选及开标时间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满足以上需求条件和相关资质要求的第三方影视广告制作企业，可在2025年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月2日（星期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前向机电集团党群工作部报名，报名时提供电子版公司营业执照复印件（加盖鲜章），以便获取集团宣传片制作相关基础材料，开展后期比选方案设计工作。比选文件于2025年4月上旬（具体比选时间及地点另行通知），送至机电集团党群工作部，现场进行比选评审。（联系人：叶春旅，电话：18183138791，邮箱：659828333@qq.com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地址：重庆市渝北区黄山大道中段60号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七、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综合评分标准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方正黑体_GBK" w:eastAsia="方正黑体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本次采购采用综合评分办法，将投标人的综合平均得分从高至低排序，排列第一名的投标人即为中标单位。若得分相同，价格低者优先；若价格相同，投标技术配置高者优先。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一</w:t>
      </w:r>
      <w:r>
        <w:rPr>
          <w:rFonts w:hint="eastAsia" w:ascii="方正仿宋_GBK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eastAsia="方正仿宋_GBK"/>
          <w:sz w:val="32"/>
          <w:szCs w:val="32"/>
        </w:rPr>
        <w:t>技术部分（60分）</w:t>
      </w:r>
    </w:p>
    <w:tbl>
      <w:tblPr>
        <w:tblStyle w:val="6"/>
        <w:tblW w:w="9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995"/>
        <w:gridCol w:w="5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32"/>
                <w:szCs w:val="32"/>
              </w:rPr>
              <w:t>评分内容及分数</w:t>
            </w:r>
          </w:p>
        </w:tc>
        <w:tc>
          <w:tcPr>
            <w:tcW w:w="19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32"/>
                <w:szCs w:val="32"/>
              </w:rPr>
              <w:t>评分标准</w:t>
            </w:r>
          </w:p>
        </w:tc>
        <w:tc>
          <w:tcPr>
            <w:tcW w:w="52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204" w:rightChars="97"/>
              <w:jc w:val="center"/>
              <w:textAlignment w:val="auto"/>
              <w:rPr>
                <w:rFonts w:ascii="Times New Roman" w:hAnsi="Times New Roman" w:eastAsia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32"/>
                <w:szCs w:val="32"/>
              </w:rPr>
              <w:t>分值范围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17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设计方案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（10分）</w:t>
            </w:r>
          </w:p>
        </w:tc>
        <w:tc>
          <w:tcPr>
            <w:tcW w:w="19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  <w:t>设计方案是否充分满足机电集团宣传片制作需求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。</w:t>
            </w:r>
          </w:p>
        </w:tc>
        <w:tc>
          <w:tcPr>
            <w:tcW w:w="52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整体内容展现完全符合宣传片制作需求</w:t>
            </w:r>
            <w:r>
              <w:rPr>
                <w:rFonts w:hint="eastAsia" w:eastAsia="方正仿宋_GBK"/>
                <w:sz w:val="28"/>
                <w:szCs w:val="28"/>
              </w:rPr>
              <w:t>，</w:t>
            </w:r>
            <w:r>
              <w:rPr>
                <w:rFonts w:eastAsia="方正仿宋_GBK"/>
                <w:sz w:val="28"/>
                <w:szCs w:val="28"/>
              </w:rPr>
              <w:t>少一项未达到需求扣</w:t>
            </w:r>
            <w:r>
              <w:rPr>
                <w:rFonts w:hint="eastAsia" w:eastAsia="方正仿宋_GBK"/>
                <w:sz w:val="28"/>
                <w:szCs w:val="28"/>
              </w:rPr>
              <w:t>2分。（1、宣传片内容融合集团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文化理念、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发展成效、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战略定位、战略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规划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创新驱动、党建引领、核心产品、服务领域</w:t>
            </w:r>
            <w:r>
              <w:rPr>
                <w:rFonts w:hint="eastAsia" w:eastAsia="方正仿宋_GBK"/>
                <w:sz w:val="28"/>
                <w:szCs w:val="28"/>
              </w:rPr>
              <w:t>等；2、</w:t>
            </w:r>
            <w:bookmarkStart w:id="6" w:name="OLE_LINK13"/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商务版和政务版形象宣传片提供中文配音，中英文字幕版本，</w:t>
            </w:r>
            <w:r>
              <w:rPr>
                <w:rFonts w:hint="eastAsia" w:eastAsia="方正仿宋_GBK"/>
                <w:sz w:val="28"/>
                <w:szCs w:val="28"/>
              </w:rPr>
              <w:t>产品宣传片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提供</w:t>
            </w:r>
            <w:r>
              <w:rPr>
                <w:rFonts w:hint="eastAsia" w:eastAsia="方正仿宋_GBK"/>
                <w:sz w:val="28"/>
                <w:szCs w:val="28"/>
              </w:rPr>
              <w:t>中文、英语、俄语、西班牙语四个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配音</w:t>
            </w:r>
            <w:r>
              <w:rPr>
                <w:rFonts w:hint="eastAsia" w:eastAsia="方正仿宋_GBK"/>
                <w:sz w:val="28"/>
                <w:szCs w:val="28"/>
              </w:rPr>
              <w:t>版本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和字幕版本</w:t>
            </w:r>
            <w:bookmarkEnd w:id="6"/>
            <w:r>
              <w:rPr>
                <w:rFonts w:hint="eastAsia" w:eastAsia="方正仿宋_GBK"/>
                <w:sz w:val="28"/>
                <w:szCs w:val="28"/>
              </w:rPr>
              <w:t>；3、宣传片拍摄、制作采用4K标准；4、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提供企业形象宣传片、产品宣传片、宣传照制作方案</w:t>
            </w:r>
            <w:r>
              <w:rPr>
                <w:rFonts w:hint="eastAsia" w:eastAsia="方正仿宋_GBK"/>
                <w:sz w:val="28"/>
                <w:szCs w:val="28"/>
              </w:rPr>
              <w:t>；5、所采用的城市形象、风光形象素材以及相关字体无版权纠纷。）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17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设计创意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20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分）</w:t>
            </w:r>
          </w:p>
        </w:tc>
        <w:tc>
          <w:tcPr>
            <w:tcW w:w="19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  <w:t>综合评判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设计</w:t>
            </w:r>
            <w: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  <w:t>方案设计的整体思路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，展现内容、结构布局、表现手法等创意。</w:t>
            </w:r>
          </w:p>
        </w:tc>
        <w:tc>
          <w:tcPr>
            <w:tcW w:w="52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204" w:rightChars="97" w:firstLine="0" w:firstLineChars="0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  <w:t>整体思路清晰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，内容、结构、表现手法</w:t>
            </w:r>
            <w: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  <w:t>设计合理性强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，</w:t>
            </w:r>
            <w: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  <w:t>有突出的创意点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（15~20分）；</w:t>
            </w:r>
            <w: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  <w:t>整体思路清晰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，内容、结构、表现手法合理，表现平实（10~15分）；整体思路混乱，缺乏创意（5~10分）。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制作质量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（20分）</w:t>
            </w:r>
          </w:p>
        </w:tc>
        <w:tc>
          <w:tcPr>
            <w:tcW w:w="19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综合评判宣传片后期制作水平，是否能充分展现企业实力和形象。</w:t>
            </w:r>
          </w:p>
        </w:tc>
        <w:tc>
          <w:tcPr>
            <w:tcW w:w="52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204" w:rightChars="97" w:firstLine="0" w:firstLineChars="0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整体画面感好，画面精致、优美、大气，能充分展现企业实力和形象（15~20分）；整体画面感一般，没有亮点，展现企业实力和形象不充分（10~15分）；整体画面感较差，制作平庸粗糙（5~10分）。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项目执行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1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0分）</w:t>
            </w:r>
          </w:p>
        </w:tc>
        <w:tc>
          <w:tcPr>
            <w:tcW w:w="19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项目执行进度跟踪，是否有专业团队进行项目策划创意、现场拍摄、后期制作等。</w:t>
            </w:r>
          </w:p>
        </w:tc>
        <w:tc>
          <w:tcPr>
            <w:tcW w:w="52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204" w:rightChars="97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项目执行中的安排计划</w:t>
            </w: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，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缺少一项扣</w:t>
            </w: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2分。（1、配属专项业务跟进人员，负责项目全程跟进；2、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配备项目执行的创意策划团队</w:t>
            </w: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；3、配置经验丰富的导演、拍摄团队；4、提供专业后期制作、特效包装团队；5、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项目执行计划进度安排</w:t>
            </w: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.）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二</w:t>
      </w:r>
      <w:r>
        <w:rPr>
          <w:rFonts w:hint="eastAsia" w:ascii="方正仿宋_GBK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eastAsia="方正仿宋_GBK"/>
          <w:sz w:val="32"/>
          <w:szCs w:val="32"/>
        </w:rPr>
        <w:t>商务部分（40分）</w:t>
      </w:r>
    </w:p>
    <w:tbl>
      <w:tblPr>
        <w:tblStyle w:val="6"/>
        <w:tblW w:w="9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2010"/>
        <w:gridCol w:w="5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32"/>
                <w:szCs w:val="32"/>
              </w:rPr>
              <w:t>评分内容及分数</w:t>
            </w:r>
          </w:p>
        </w:tc>
        <w:tc>
          <w:tcPr>
            <w:tcW w:w="20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32"/>
                <w:szCs w:val="32"/>
              </w:rPr>
              <w:t>评分标准</w:t>
            </w:r>
          </w:p>
        </w:tc>
        <w:tc>
          <w:tcPr>
            <w:tcW w:w="527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204" w:rightChars="97"/>
              <w:jc w:val="center"/>
              <w:textAlignment w:val="auto"/>
              <w:rPr>
                <w:rFonts w:ascii="Times New Roman" w:hAnsi="Times New Roman" w:eastAsia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32"/>
                <w:szCs w:val="32"/>
              </w:rPr>
              <w:t>分值范围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17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投标报价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20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分）</w:t>
            </w:r>
          </w:p>
        </w:tc>
        <w:tc>
          <w:tcPr>
            <w:tcW w:w="20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以有效报价平均价为基准价</w:t>
            </w:r>
          </w:p>
        </w:tc>
        <w:tc>
          <w:tcPr>
            <w:tcW w:w="527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204" w:rightChars="97"/>
              <w:textAlignment w:val="auto"/>
              <w:rPr>
                <w:rFonts w:eastAsia="方正仿宋_GBK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报价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每高于平均价1%扣1分，每低于平均价1%扣0.5分，最多扣10分。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企业实力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（5分）</w:t>
            </w:r>
          </w:p>
        </w:tc>
        <w:tc>
          <w:tcPr>
            <w:tcW w:w="20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企业资质和实力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，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注册资本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、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经营范围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、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专业能力等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。</w:t>
            </w:r>
          </w:p>
        </w:tc>
        <w:tc>
          <w:tcPr>
            <w:tcW w:w="527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204" w:rightChars="97" w:firstLine="0" w:firstLineChars="0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相关要求每缺一项扣1分。（1、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投标企业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注册资本100万元，成立3年以上；2、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营业执照中须有具有专业从事影像拍摄制作资质和独立法人资格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；3、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具备独立完成项目制作所需的最新专业技术装备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、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技术团队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、制作团队；4、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具备独立完成文案策划的能力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；5、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具有国家级配音员配音资源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企业业绩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（5分）</w:t>
            </w:r>
          </w:p>
        </w:tc>
        <w:tc>
          <w:tcPr>
            <w:tcW w:w="20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为大型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工业制造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企业集团提供宣传片制作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业绩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；获得的省级及以上荣誉展示。</w:t>
            </w:r>
          </w:p>
        </w:tc>
        <w:tc>
          <w:tcPr>
            <w:tcW w:w="527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204" w:rightChars="97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提供</w:t>
            </w: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3个</w:t>
            </w: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  <w:lang w:val="en-US" w:eastAsia="zh-CN"/>
              </w:rPr>
              <w:t>为</w:t>
            </w: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大型工业制造企业集团提供宣传片制作服务</w:t>
            </w: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  <w:lang w:val="en-US" w:eastAsia="zh-CN"/>
              </w:rPr>
              <w:t>案例得</w:t>
            </w: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5分</w:t>
            </w: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  <w:lang w:val="en-US" w:eastAsia="zh-CN"/>
              </w:rPr>
              <w:t>每缺一个扣2分，扣完为止，每增加一个增加1分，加分不超过3分</w:t>
            </w: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；获得过省级及行业以上荣誉的1个加</w:t>
            </w: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分，加分不超过</w:t>
            </w: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售后服务及其他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10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分）</w:t>
            </w:r>
          </w:p>
        </w:tc>
        <w:tc>
          <w:tcPr>
            <w:tcW w:w="20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提供售后服务及其他赠送服务。</w:t>
            </w:r>
          </w:p>
        </w:tc>
        <w:tc>
          <w:tcPr>
            <w:tcW w:w="527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204" w:rightChars="97" w:firstLine="0" w:firstLineChars="0"/>
              <w:textAlignment w:val="auto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售后服务承诺最优得5分，按照差异依次扣除1分；其他赠送服务承诺1项为2分，最高</w:t>
            </w:r>
            <w:bookmarkStart w:id="7" w:name="_GoBack"/>
            <w:bookmarkEnd w:id="7"/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不超过5分。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640" w:firstLineChars="200"/>
        <w:jc w:val="right"/>
        <w:textAlignment w:val="auto"/>
        <w:rPr>
          <w:rFonts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/>
          <w:lang w:val="en-US"/>
        </w:rPr>
      </w:pPr>
    </w:p>
    <w:p>
      <w:pPr>
        <w:spacing w:line="594" w:lineRule="exact"/>
        <w:ind w:right="960" w:firstLine="420" w:firstLineChars="200"/>
        <w:jc w:val="right"/>
        <w:rPr>
          <w:rFonts w:hint="default"/>
          <w:lang w:val="en-US"/>
        </w:rPr>
      </w:pPr>
    </w:p>
    <w:sectPr>
      <w:footerReference r:id="rId3" w:type="default"/>
      <w:pgSz w:w="11906" w:h="16838"/>
      <w:pgMar w:top="1984" w:right="1446" w:bottom="1644" w:left="1446" w:header="851" w:footer="85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689054569"/>
                          </w:sdtPr>
                          <w:sdtEndP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center"/>
                                <w:rPr>
                                  <w:rFonts w:hint="default"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32"/>
                                  <w:szCs w:val="32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32"/>
                                  <w:szCs w:val="32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689054569"/>
                    </w:sdtPr>
                    <w:sdtEndP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sdtEndPr>
                    <w:sdtContent>
                      <w:p>
                        <w:pPr>
                          <w:pStyle w:val="3"/>
                          <w:jc w:val="center"/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  <w:lang w:val="zh-CN"/>
                          </w:rPr>
                          <w:t>3</w:t>
                        </w: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5M2E5ZDUzZmNhYjhiODE0NjE4NWIyZDE0YzQ2MjUifQ=="/>
    <w:docVar w:name="KSO_WPS_MARK_KEY" w:val="0c3856eb-4dfd-4b56-a9cf-241b8f8a5fa9"/>
  </w:docVars>
  <w:rsids>
    <w:rsidRoot w:val="00000000"/>
    <w:rsid w:val="05713629"/>
    <w:rsid w:val="0C341DAB"/>
    <w:rsid w:val="0CD05010"/>
    <w:rsid w:val="0F19768C"/>
    <w:rsid w:val="12CB29E4"/>
    <w:rsid w:val="15367BF3"/>
    <w:rsid w:val="15FC3D43"/>
    <w:rsid w:val="1B570E3D"/>
    <w:rsid w:val="1E4C7DCF"/>
    <w:rsid w:val="1F334A54"/>
    <w:rsid w:val="22711D00"/>
    <w:rsid w:val="22971168"/>
    <w:rsid w:val="27E26CDD"/>
    <w:rsid w:val="2B745835"/>
    <w:rsid w:val="34591909"/>
    <w:rsid w:val="354668F6"/>
    <w:rsid w:val="3585721F"/>
    <w:rsid w:val="37DE4891"/>
    <w:rsid w:val="3C3F771E"/>
    <w:rsid w:val="3DF15566"/>
    <w:rsid w:val="3FCF4B2E"/>
    <w:rsid w:val="41C30DD3"/>
    <w:rsid w:val="43E15430"/>
    <w:rsid w:val="44834D9F"/>
    <w:rsid w:val="50696145"/>
    <w:rsid w:val="51735001"/>
    <w:rsid w:val="586B778E"/>
    <w:rsid w:val="5FD33772"/>
    <w:rsid w:val="60A26A80"/>
    <w:rsid w:val="620852F1"/>
    <w:rsid w:val="658856B2"/>
    <w:rsid w:val="67D64D40"/>
    <w:rsid w:val="6BCC55E2"/>
    <w:rsid w:val="6FDE7807"/>
    <w:rsid w:val="7086351A"/>
    <w:rsid w:val="75431EE9"/>
    <w:rsid w:val="75476ADC"/>
    <w:rsid w:val="75BD5AE8"/>
    <w:rsid w:val="7662101C"/>
    <w:rsid w:val="79053EE1"/>
    <w:rsid w:val="799D49F0"/>
    <w:rsid w:val="7E93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/>
      <w:spacing w:before="480" w:line="276" w:lineRule="auto"/>
      <w:jc w:val="left"/>
      <w:outlineLvl w:val="0"/>
    </w:pPr>
    <w:rPr>
      <w:rFonts w:ascii="Calibri Light" w:hAnsi="Calibri Light" w:eastAsia="黑体"/>
      <w:b/>
      <w:bCs/>
      <w:color w:val="2E75B5"/>
      <w:kern w:val="0"/>
      <w:sz w:val="30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qFormat/>
    <w:uiPriority w:val="99"/>
    <w:pPr>
      <w:spacing w:after="120" w:line="480" w:lineRule="auto"/>
    </w:pPr>
    <w:rPr>
      <w:rFonts w:asciiTheme="minorHAnsi" w:hAnsiTheme="minorHAnsi" w:eastAsiaTheme="minorEastAsia" w:cstheme="minorBidi"/>
    </w:rPr>
  </w:style>
  <w:style w:type="character" w:styleId="8">
    <w:name w:val="Emphasis"/>
    <w:basedOn w:val="7"/>
    <w:qFormat/>
    <w:uiPriority w:val="0"/>
    <w:rPr>
      <w:i/>
    </w:rPr>
  </w:style>
  <w:style w:type="paragraph" w:customStyle="1" w:styleId="9">
    <w:name w:val="列表段落2"/>
    <w:basedOn w:val="1"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2974</Words>
  <Characters>3061</Characters>
  <Lines>0</Lines>
  <Paragraphs>0</Paragraphs>
  <TotalTime>0</TotalTime>
  <ScaleCrop>false</ScaleCrop>
  <LinksUpToDate>false</LinksUpToDate>
  <CharactersWithSpaces>3061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2025-03-18T03:21:00Z</dcterms:created>
  <dc:creator>A9</dc:creator>
  <cp:lastModifiedBy>叶春旅</cp:lastModifiedBy>
  <dcterms:modified xsi:type="dcterms:W3CDTF">2025-03-31T01:54:06Z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D7FA8844E2DC424EB9F2D85405D98555</vt:lpwstr>
  </property>
</Properties>
</file>